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II 225</w:t>
      </w:r>
    </w:p>
    <w:p>
      <w:r>
        <w:t>Bundesgericht (BGE), 1991-10-22, DE</w:t>
      </w:r>
    </w:p>
    <w:p>
      <w:r>
        <w:rPr>
          <w:b/>
        </w:rPr>
        <w:t xml:space="preserve">Quelle: </w:t>
      </w:r>
      <w:r>
        <w:t>https://mcp.opencaselaw.ch/entscheid/bge_120 II 225</w:t>
      </w:r>
    </w:p>
    <w:p>
      <w:r>
        <w:t>FR: ATF 120 II 225</w:t>
      </w:r>
    </w:p>
    <w:p>
      <w:r>
        <w:t>IT: DTF 120 II 225</w:t>
      </w:r>
    </w:p>
    <w:p>
      <w:pPr>
        <w:pStyle w:val="Heading2"/>
      </w:pPr>
      <w:r>
        <w:t>Regeste</w:t>
      </w:r>
    </w:p>
    <w:p>
      <w:r>
        <w:t>Regeste Art. 28 ZGB; Kunstfreiheit als Rechtfertigungsgrund für eine Persönlichkeitsverletzung? Ist nicht bewiesen, dass eine persönlichkeitsverletzende Darstellung in einem Buch der Wahrheit entspricht, so kann der Autor zur Rechtfertigung der Persönlichkeitsverletzung nicht geltend machen, er habe die Wirklichkeit mit künstlerischen Mitteln darstellen wollen. Die in einem Buch veröffentlichte fiktive Geschichte ist so zu gestalten, dass der durchschnittliche Leser ehrverletzende Äusserungen nicht auf eine tatsächlich lebende Person bezieht.</w:t>
      </w:r>
    </w:p>
    <w:p>
      <w:pPr>
        <w:pStyle w:val="Heading2"/>
      </w:pPr>
      <w:r>
        <w:t>Erwägungen</w:t>
      </w:r>
    </w:p>
    <w:p>
      <w:r>
        <w:rPr>
          <w:b/>
        </w:rPr>
        <w:t>E. 3</w:t>
      </w:r>
    </w:p>
    <w:p>
      <w:r>
        <w:t>Die Beklagte wirft dem Obergericht vor, es habe zu unrecht die Persönlichkeitsverletzung als widerrechtlich angesehen. Sie beruft sich auf überwiegende Interessen an der Veröffentlichung ihres Buches. Bei der Interessenabwägung habe das Obergericht nicht berücksichtigt, dass die Veröffentlichung Ausdruck ihrer Meinungsäusserungsfreiheit sei, welche sich auch auf das Kunstschaffen erstrecke, und dass überdies ein öffentliches Interesse an der Aufdeckung des Verhaltens des Klägers bestehe... a) ... Weil der Vorwurf nicht der Wahrheit entspricht, kann sich die Beklagte nicht auf ein öffentliches Interesse an der Aufdeckung eines Fehlverhaltens eines Beamten berufen. b) Die Beklagte macht als überwiegendes Interesse überdies ihr Recht geltend, sich künstlerisch zu betätigen. Ihr Buch sei mit einem autobiographischen Werk vergleichbar, bei dem es unvermeidbar sei, auch andere Personen darzustellen, die durch ihr Handeln in das Leben der Autorin eingegriffen hätten. In einer rechtsstaatlichen Demokratie besteht in der Tat ein erhebliches Interesse daran, dass ein künstlerisches Schaffen möglich ist. Entsprechend hat auch das Bundesgericht die Kunstfreiheit als Teil der Meinungsäusserungsfreiheit geschützt ( BGE 117 Ia 478 ). Daraus darf allerdings nicht der Schluss gezogen werden, jede Persönlichkeitsverletzung könne mit der Kunstfreiheit gerechtfertigt werden. Die künstlerische Betätigung hat sich im Rahmen der Rechtsordnung zu halten. Auch der Kunstschaffende hat die Persönlichkeitsrechte anderer zu respektieren. Es ist somit das Interesse des Verletzten gegen das Interesse des Verletzers an der künstlerischen Betätigung abzuwägen, wobei zu berücksichtigen ist, welche Möglichkeiten dem Künstler offengestanden hätten, sein Werk ohne die Persönlichkeitsverletzung zu schaffen. Die Beklagte kann sich nicht darauf berufen, dass es ihr im vorliegenden Buch mit Bezug auf die eingeklagten Stellen darum gegangen sei, die Wirklichkeit mit künstlerischen Mitteln darzustellen. Sie konnte den Wahrheitsbeweis für die geschilderten Sachverhalte nicht erbringen. Es geht somit nicht um die Darstellung einer realen Begebenheit, sondern um Fiktion. Deshalb kann der Beklagten nicht BGE 120 II 225 S. 228 gefolgt werden, wenn sie ihr Buch mit einem autobiographischen Werk vergleicht. Entsprechend stehen auch die von ihr zitierten Ausführungen von GEISER (Die Persönlichkeitsverletzung insbesondere durch Kunstwerke, Basel 1990, Rz. 9.73) in keinem Zusammenhang zum vorliegenden Fall. Geht es hier aber um Fiktion und nicht um die Darstellung einer wahren Begebenheit, kann von der Autorin verlangt werden, die fiktive Geschichte so auszugestalten, dass der Leser nicht auf eine reale Person schliesst. Wenn es ihr darum ging, eine fiktive Geschichte über ein verwerfliches Verhalten eines Beamten künstlerisch zu erzählen, hätte sie die nötige Sorgfalt aufwenden müssen, um jeden Bezug zu tatsächlich lebenden Personen auszuschliessen (GEISER, Rz. 2.44, S. 65). Dass aus irgendwelchen, in der Konzeption des Werks liegenden Gründen die Person so ausgestaltet und beschrieben sein musste, wie die Beklagte es tatsächlich tat, so dass der durchschnittliche Leser auf den Kläger schliesst, hat die Beklagte in keiner Weise dargetan. Nichts anderes gilt mit Bezug auf die Kraftausdrücke. Wohl können solche Wortschöpfungen als Ausdruck der künstlerischen Freiheit den Stil eines Buches prägen. Das bedeutet aber nicht, dass es die Kunst auch gebietet, mit diesen Ausdrücken tatsächlich lebende Personen zu verunglimpfen. Die Berufung auf die Kunstfreiheit vermag somit die vom Obergericht vorgenommene Interessenabwägung nicht als bundesrechtswidrig erscheinen zu lassen. Die Berufung erweist sich als unbegründet und das angefochtene Urteil wird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